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ГОСУДАРСТВЕННОЙ РЕГИСТРАЦИИ,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КАДАСТРА И КАРТОГРАФИИ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от 14 июня 2022 г. N </w:t>
      </w:r>
      <w:proofErr w:type="gramStart"/>
      <w:r>
        <w:rPr>
          <w:rFonts w:ascii="Calibri" w:hAnsi="Calibri" w:cs="Calibri"/>
          <w:b/>
          <w:bCs/>
        </w:rPr>
        <w:t>П</w:t>
      </w:r>
      <w:proofErr w:type="gramEnd"/>
      <w:r>
        <w:rPr>
          <w:rFonts w:ascii="Calibri" w:hAnsi="Calibri" w:cs="Calibri"/>
          <w:b/>
          <w:bCs/>
        </w:rPr>
        <w:t>/0226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КРИТЕРИЕВ СООТВЕТСТВИЯ МЕТОДИЧЕСКИМ УКАЗАНИЯМ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ГОСУДАРСТВЕННОЙ КАДАСТРОВОЙ ОЦЕНКЕ ПРОЕКТА ОТЧЕТА,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ОБНОВЛЕННОЙ ВЕРСИИ ПРОЕКТА ОТЧЕТА, </w:t>
      </w:r>
      <w:proofErr w:type="gramStart"/>
      <w:r>
        <w:rPr>
          <w:rFonts w:ascii="Calibri" w:hAnsi="Calibri" w:cs="Calibri"/>
          <w:b/>
          <w:bCs/>
        </w:rPr>
        <w:t>СОСТАВЛЕННЫХ</w:t>
      </w:r>
      <w:proofErr w:type="gramEnd"/>
      <w:r>
        <w:rPr>
          <w:rFonts w:ascii="Calibri" w:hAnsi="Calibri" w:cs="Calibri"/>
          <w:b/>
          <w:bCs/>
        </w:rPr>
        <w:t xml:space="preserve"> БЮДЖЕТНЫМ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УЧРЕЖДЕНИЕМ, СОЗДАННЫМ СУБЪЕКТОМ РОССИЙСКОЙ ФЕДЕРАЦИИ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И НАДЕЛЕННЫМ ПОЛНОМОЧИЯМИ, СВЯЗАННЫМИ С ОПРЕДЕЛЕНИЕМ</w:t>
      </w:r>
      <w:proofErr w:type="gramEnd"/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КАДАСТРОВОЙ СТОИМОСТИ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частью 29 статьи 14</w:t>
        </w:r>
      </w:hyperlink>
      <w:r>
        <w:rPr>
          <w:rFonts w:ascii="Calibri" w:hAnsi="Calibri" w:cs="Calibri"/>
        </w:rP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</w:t>
      </w:r>
      <w:proofErr w:type="gramStart"/>
      <w:r>
        <w:rPr>
          <w:rFonts w:ascii="Calibri" w:hAnsi="Calibri" w:cs="Calibri"/>
        </w:rPr>
        <w:t xml:space="preserve">2020, N 31, ст. 5028), </w:t>
      </w:r>
      <w:hyperlink r:id="rId6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2021, N 47, ст. 7848), приказываю:</w:t>
      </w:r>
      <w:proofErr w:type="gramEnd"/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критерии соответствия методическим указаниям о государственной кадастровой оценке проекта отчета, обновленной версии проекта отчета, </w:t>
      </w:r>
      <w:proofErr w:type="gramStart"/>
      <w:r>
        <w:rPr>
          <w:rFonts w:ascii="Calibri" w:hAnsi="Calibri" w:cs="Calibri"/>
        </w:rPr>
        <w:t>составленных</w:t>
      </w:r>
      <w:proofErr w:type="gramEnd"/>
      <w:r>
        <w:rPr>
          <w:rFonts w:ascii="Calibri" w:hAnsi="Calibri" w:cs="Calibri"/>
        </w:rPr>
        <w:t xml:space="preserve"> бюджетным учреждением, созданным субъектом Российской Федерации и наделенным полномочиями, связанными с определением кадастровой стоимости, согласно </w:t>
      </w:r>
      <w:hyperlink w:anchor="Par29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7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Росреестра</w:t>
      </w:r>
      <w:proofErr w:type="spellEnd"/>
      <w:r>
        <w:rPr>
          <w:rFonts w:ascii="Calibri" w:hAnsi="Calibri" w:cs="Calibri"/>
        </w:rPr>
        <w:t xml:space="preserve"> от 6 августа 2020 г. N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/0279 "Об установлении критериев соответствия методическим указаниям о государственной кадастровой оценке проекта отчета, обновленной версии проекта отчета, подготовленных бюджетным учреждением, созданным субъектом Российской Федерации и наделенным полномочиями, связанными с определением кадастровой стоимости" (зарегистрирован Минюстом России 1 октября 2020 г., регистрационный N 60179).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О.А.СКУФИНСКИЙ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приказу </w:t>
      </w:r>
      <w:proofErr w:type="spellStart"/>
      <w:r>
        <w:rPr>
          <w:rFonts w:ascii="Calibri" w:hAnsi="Calibri" w:cs="Calibri"/>
        </w:rPr>
        <w:t>Росреестра</w:t>
      </w:r>
      <w:proofErr w:type="spellEnd"/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14 июня 2022 г. N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/0226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КРИТЕРИИ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СООТВЕТСТВИЯ МЕТОДИЧЕСКИМ УКАЗАНИЯМ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ГОСУДАРСТВЕННОЙ КАДАСТРОВОЙ ОЦЕНКЕ ПРОЕКТА ОТЧЕТА,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ОБНОВЛЕННОЙ ВЕРСИИ ПРОЕКТА ОТЧЕТА, </w:t>
      </w:r>
      <w:proofErr w:type="gramStart"/>
      <w:r>
        <w:rPr>
          <w:rFonts w:ascii="Calibri" w:hAnsi="Calibri" w:cs="Calibri"/>
          <w:b/>
          <w:bCs/>
        </w:rPr>
        <w:t>СОСТАВЛЕННЫХ</w:t>
      </w:r>
      <w:proofErr w:type="gramEnd"/>
      <w:r>
        <w:rPr>
          <w:rFonts w:ascii="Calibri" w:hAnsi="Calibri" w:cs="Calibri"/>
          <w:b/>
          <w:bCs/>
        </w:rPr>
        <w:t xml:space="preserve"> БЮДЖЕТНЫМ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УЧРЕЖДЕНИЕМ, СОЗДАННЫМ СУБЪЕКТОМ РОССИЙСКОЙ ФЕДЕРАЦИИ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И НАДЕЛЕННЫМ ПОЛНОМОЧИЯМИ, СВЯЗАННЫМИ С ОПРЕДЕЛЕНИЕМ</w:t>
      </w:r>
      <w:proofErr w:type="gramEnd"/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КАДАСТРОВОЙ СТОИМОСТИ</w:t>
      </w: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проведении проверки на соответствие Методическим </w:t>
      </w:r>
      <w:hyperlink r:id="rId8" w:history="1">
        <w:r>
          <w:rPr>
            <w:rFonts w:ascii="Calibri" w:hAnsi="Calibri" w:cs="Calibri"/>
            <w:color w:val="0000FF"/>
          </w:rPr>
          <w:t>указаниям</w:t>
        </w:r>
      </w:hyperlink>
      <w:r>
        <w:rPr>
          <w:rFonts w:ascii="Calibri" w:hAnsi="Calibri" w:cs="Calibri"/>
        </w:rPr>
        <w:t xml:space="preserve"> о государственной кадастровой оценке, утвержденным приказом </w:t>
      </w:r>
      <w:proofErr w:type="spellStart"/>
      <w:r>
        <w:rPr>
          <w:rFonts w:ascii="Calibri" w:hAnsi="Calibri" w:cs="Calibri"/>
        </w:rPr>
        <w:t>Росреестра</w:t>
      </w:r>
      <w:proofErr w:type="spellEnd"/>
      <w:r>
        <w:rPr>
          <w:rFonts w:ascii="Calibri" w:hAnsi="Calibri" w:cs="Calibri"/>
        </w:rPr>
        <w:t xml:space="preserve"> от 4 августа 2021 г. N 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>/0336 &lt;1&gt; (далее - Методические указания), проекта отчета, обновленной версии проекта отчета, составленных бюджетным учреждением, созданным субъектом Российской Федерации и наделенным полномочиями, связанными с определением кадастровой стоимости, федеральным органом исполнительной власти, осуществляющим государственный кадастровый учет и государственную регистрацию прав (далее - орган регистрации прав), применяются следующие критерии:</w:t>
      </w:r>
    </w:p>
    <w:p w:rsidR="00666A82" w:rsidRDefault="00666A82" w:rsidP="00C85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bookmarkEnd w:id="1"/>
    </w:p>
    <w:p w:rsidR="00C85B05" w:rsidRDefault="00C85B05" w:rsidP="00C85B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Наличие обоснования выбора подходов и методов, использованных для определения кадастровой стоимости для групп (подгрупп) объектов недвижимости (</w:t>
      </w:r>
      <w:hyperlink r:id="rId9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Наличие согласования результатов, полученных в случае применения различных подходов к оценке. В случае проведения согласования путем сопоставления результатов, полученных с применением различных подходов, наличие обоснования выбора способа согласования (</w:t>
      </w:r>
      <w:hyperlink r:id="rId10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Отсутствие в рыночной информации, использованной при определении кадастровой стоимости, сведений о событиях, произошедших после даты определения кадастровой стоимости (по результатам выборочной проверки 0,1% информации от общего объема сведений; </w:t>
      </w:r>
      <w:hyperlink r:id="rId11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Соответствие перечня мероприятий по определению кадастровой стоимости требованиям Методических указаний (</w:t>
      </w:r>
      <w:hyperlink r:id="rId12" w:history="1">
        <w:r>
          <w:rPr>
            <w:rFonts w:ascii="Calibri" w:hAnsi="Calibri" w:cs="Calibri"/>
            <w:color w:val="0000FF"/>
          </w:rPr>
          <w:t>пункт 15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Наличие результатов сбора и анализа информации о рынке объектов недвижимости, а также анализа информации, не относящейся непосредственно к объектам недвижимости, подлежащим государственной кадастровой оценке, но влияющей на их стоимость (</w:t>
      </w:r>
      <w:hyperlink r:id="rId13" w:history="1">
        <w:r>
          <w:rPr>
            <w:rFonts w:ascii="Calibri" w:hAnsi="Calibri" w:cs="Calibri"/>
            <w:color w:val="0000FF"/>
          </w:rPr>
          <w:t>глава IV</w:t>
        </w:r>
      </w:hyperlink>
      <w:r>
        <w:rPr>
          <w:rFonts w:ascii="Calibri" w:hAnsi="Calibri" w:cs="Calibri"/>
        </w:rPr>
        <w:t xml:space="preserve"> Методических указаний), в том числе: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обзора факторов, оказывающих влияние на стоимость объектов недвижимости, в том числе экономических, социальных, экологических;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обзора состояния рынка недвижимости (в целом), сегмента (сегментов) рынка объектов недвижимости.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Наличие результатов анализа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факторов объектов недвижимости (далее - </w:t>
      </w:r>
      <w:proofErr w:type="spellStart"/>
      <w:r>
        <w:rPr>
          <w:rFonts w:ascii="Calibri" w:hAnsi="Calibri" w:cs="Calibri"/>
        </w:rPr>
        <w:t>ценообразующие</w:t>
      </w:r>
      <w:proofErr w:type="spellEnd"/>
      <w:r>
        <w:rPr>
          <w:rFonts w:ascii="Calibri" w:hAnsi="Calibri" w:cs="Calibri"/>
        </w:rPr>
        <w:t xml:space="preserve"> факторы), оказывающих влияние на стоимость объектов недвижимости, в форме таблиц, содержащих состав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факторов в сегменте (сегментах) рынка объектов недвижимости, наличие обоснования состава таких </w:t>
      </w:r>
      <w:proofErr w:type="spellStart"/>
      <w:r>
        <w:rPr>
          <w:rFonts w:ascii="Calibri" w:hAnsi="Calibri" w:cs="Calibri"/>
        </w:rPr>
        <w:t>ценообразующих</w:t>
      </w:r>
      <w:proofErr w:type="spellEnd"/>
      <w:r>
        <w:rPr>
          <w:rFonts w:ascii="Calibri" w:hAnsi="Calibri" w:cs="Calibri"/>
        </w:rPr>
        <w:t xml:space="preserve"> факторов (</w:t>
      </w:r>
      <w:hyperlink r:id="rId14" w:history="1">
        <w:r>
          <w:rPr>
            <w:rFonts w:ascii="Calibri" w:hAnsi="Calibri" w:cs="Calibri"/>
            <w:color w:val="0000FF"/>
          </w:rPr>
          <w:t>пункт 26.3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7. Единообразие в структурировании рыночной информации (</w:t>
      </w:r>
      <w:hyperlink r:id="rId15" w:history="1">
        <w:r>
          <w:rPr>
            <w:rFonts w:ascii="Calibri" w:hAnsi="Calibri" w:cs="Calibri"/>
            <w:color w:val="0000FF"/>
          </w:rPr>
          <w:t>пункт 26.4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Наличие сведений об источниках информации для каждого </w:t>
      </w:r>
      <w:proofErr w:type="spellStart"/>
      <w:r>
        <w:rPr>
          <w:rFonts w:ascii="Calibri" w:hAnsi="Calibri" w:cs="Calibri"/>
        </w:rPr>
        <w:t>ценообразующего</w:t>
      </w:r>
      <w:proofErr w:type="spellEnd"/>
      <w:r>
        <w:rPr>
          <w:rFonts w:ascii="Calibri" w:hAnsi="Calibri" w:cs="Calibri"/>
        </w:rPr>
        <w:t xml:space="preserve"> фактора (</w:t>
      </w:r>
      <w:hyperlink r:id="rId16" w:history="1">
        <w:r>
          <w:rPr>
            <w:rFonts w:ascii="Calibri" w:hAnsi="Calibri" w:cs="Calibri"/>
            <w:color w:val="0000FF"/>
          </w:rPr>
          <w:t>пункт 31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Наличие информации о согласовании сведений о фактическом использовании объектов недвижимости, подлежащих государственной кадастровой оценке, в случае проведения такого согласования (</w:t>
      </w:r>
      <w:hyperlink r:id="rId17" w:history="1">
        <w:r>
          <w:rPr>
            <w:rFonts w:ascii="Calibri" w:hAnsi="Calibri" w:cs="Calibri"/>
            <w:color w:val="0000FF"/>
          </w:rPr>
          <w:t>пункт 23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Наличие кодов расчета видов использования для земельных участков (</w:t>
      </w:r>
      <w:hyperlink r:id="rId18" w:history="1">
        <w:r>
          <w:rPr>
            <w:rFonts w:ascii="Calibri" w:hAnsi="Calibri" w:cs="Calibri"/>
            <w:color w:val="0000FF"/>
          </w:rPr>
          <w:t>пункт 56.2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Наличие обоснования отнесения объектов недвижимости к соответствующим группам (подгруппам; </w:t>
      </w:r>
      <w:hyperlink r:id="rId19" w:history="1">
        <w:r>
          <w:rPr>
            <w:rFonts w:ascii="Calibri" w:hAnsi="Calibri" w:cs="Calibri"/>
            <w:color w:val="0000FF"/>
          </w:rPr>
          <w:t>глава IX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C85B05" w:rsidRDefault="00C85B05" w:rsidP="00C85B05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Наличие информации о контроле качества результатов определения кадастровой стоимости (</w:t>
      </w:r>
      <w:hyperlink r:id="rId20" w:history="1">
        <w:r>
          <w:rPr>
            <w:rFonts w:ascii="Calibri" w:hAnsi="Calibri" w:cs="Calibri"/>
            <w:color w:val="0000FF"/>
          </w:rPr>
          <w:t>глава XI</w:t>
        </w:r>
      </w:hyperlink>
      <w:r>
        <w:rPr>
          <w:rFonts w:ascii="Calibri" w:hAnsi="Calibri" w:cs="Calibri"/>
        </w:rPr>
        <w:t xml:space="preserve"> Методических указаний).</w:t>
      </w:r>
    </w:p>
    <w:p w:rsidR="00FF3EAD" w:rsidRDefault="00FF3EAD"/>
    <w:sectPr w:rsidR="00FF3EAD" w:rsidSect="0074200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4B"/>
    <w:rsid w:val="00666A82"/>
    <w:rsid w:val="00672E4B"/>
    <w:rsid w:val="00C85B05"/>
    <w:rsid w:val="00F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9BCC9ADD47F1365EF02F44C8C207A2A7B959FC74A8E5AE342E31F496DA9E0FA3AAB4BCA25DCEB37840BF6E567C76CF23BA3B514E4469FfF73C" TargetMode="External"/><Relationship Id="rId13" Type="http://schemas.openxmlformats.org/officeDocument/2006/relationships/hyperlink" Target="consultantplus://offline/ref=87F9BCC9ADD47F1365EF02F44C8C207A2A7B959FC74A8E5AE342E31F496DA9E0FA3AAB4BCA25DDEB34840BF6E567C76CF23BA3B514E4469FfF73C" TargetMode="External"/><Relationship Id="rId18" Type="http://schemas.openxmlformats.org/officeDocument/2006/relationships/hyperlink" Target="consultantplus://offline/ref=87F9BCC9ADD47F1365EF02F44C8C207A2A7B959FC74A8E5AE342E31F496DA9E0FA3AAB4BCA25D8ED34840BF6E567C76CF23BA3B514E4469FfF73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7F9BCC9ADD47F1365EF02F44C8C207A2D7D959EC3488E5AE342E31F496DA9E0E83AF347CA2DC2EA3E915DA7A3f370C" TargetMode="External"/><Relationship Id="rId12" Type="http://schemas.openxmlformats.org/officeDocument/2006/relationships/hyperlink" Target="consultantplus://offline/ref=87F9BCC9ADD47F1365EF02F44C8C207A2A7B959FC74A8E5AE342E31F496DA9E0FA3AAB4BCA25DCEC37840BF6E567C76CF23BA3B514E4469FfF73C" TargetMode="External"/><Relationship Id="rId17" Type="http://schemas.openxmlformats.org/officeDocument/2006/relationships/hyperlink" Target="consultantplus://offline/ref=87F9BCC9ADD47F1365EF02F44C8C207A2A7B959FC74A8E5AE342E31F496DA9E0FA3AAB4BCA25DCE336840BF6E567C76CF23BA3B514E4469FfF73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F9BCC9ADD47F1365EF02F44C8C207A2A7B959FC74A8E5AE342E31F496DA9E0FA3AAB4BCA25DEEB37840BF6E567C76CF23BA3B514E4469FfF73C" TargetMode="External"/><Relationship Id="rId20" Type="http://schemas.openxmlformats.org/officeDocument/2006/relationships/hyperlink" Target="consultantplus://offline/ref=87F9BCC9ADD47F1365EF02F44C8C207A2A7B959FC74A8E5AE342E31F496DA9E0FA3AAB4BCA25DAE831840BF6E567C76CF23BA3B514E4469FfF73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9BCC9ADD47F1365EF02F44C8C207A2A79969EC34D8E5AE342E31F496DA9E0FA3AAB4BCB22D7BE67CB0AAAA13AD46CF23BA1BD08fE74C" TargetMode="External"/><Relationship Id="rId11" Type="http://schemas.openxmlformats.org/officeDocument/2006/relationships/hyperlink" Target="consultantplus://offline/ref=87F9BCC9ADD47F1365EF02F44C8C207A2A7B959FC74A8E5AE342E31F496DA9E0FA3AAB4BCA25DCE831840BF6E567C76CF23BA3B514E4469FfF73C" TargetMode="External"/><Relationship Id="rId5" Type="http://schemas.openxmlformats.org/officeDocument/2006/relationships/hyperlink" Target="consultantplus://offline/ref=87F9BCC9ADD47F1365EF02F44C8C207A2A7B939EC44E8E5AE342E31F496DA9E0FA3AAB4BCC2DD7BE67CB0AAAA13AD46CF23BA1BD08fE74C" TargetMode="External"/><Relationship Id="rId15" Type="http://schemas.openxmlformats.org/officeDocument/2006/relationships/hyperlink" Target="consultantplus://offline/ref=87F9BCC9ADD47F1365EF02F44C8C207A2A7B959FC74A8E5AE342E31F496DA9E0FA3AAB4BCA25DDEC35840BF6E567C76CF23BA3B514E4469FfF73C" TargetMode="External"/><Relationship Id="rId10" Type="http://schemas.openxmlformats.org/officeDocument/2006/relationships/hyperlink" Target="consultantplus://offline/ref=87F9BCC9ADD47F1365EF02F44C8C207A2A7B959FC74A8E5AE342E31F496DA9E0FA3AAB4BCA25DCE830840BF6E567C76CF23BA3B514E4469FfF73C" TargetMode="External"/><Relationship Id="rId19" Type="http://schemas.openxmlformats.org/officeDocument/2006/relationships/hyperlink" Target="consultantplus://offline/ref=87F9BCC9ADD47F1365EF02F44C8C207A2A7B959FC74A8E5AE342E31F496DA9E0FA3AAB4BCA25D8E930840BF6E567C76CF23BA3B514E4469FfF7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F9BCC9ADD47F1365EF02F44C8C207A2A7B959FC74A8E5AE342E31F496DA9E0FA3AAB4BCA25DCE834840BF6E567C76CF23BA3B514E4469FfF73C" TargetMode="External"/><Relationship Id="rId14" Type="http://schemas.openxmlformats.org/officeDocument/2006/relationships/hyperlink" Target="consultantplus://offline/ref=87F9BCC9ADD47F1365EF02F44C8C207A2A7B959FC74A8E5AE342E31F496DA9E0FA3AAB4BCA25DDE83F840BF6E567C76CF23BA3B514E4469FfF73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6652</Characters>
  <Application>Microsoft Office Word</Application>
  <DocSecurity>0</DocSecurity>
  <Lines>55</Lines>
  <Paragraphs>15</Paragraphs>
  <ScaleCrop>false</ScaleCrop>
  <Company>Microsoft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Государственный Технический Архив</dc:creator>
  <cp:keywords/>
  <dc:description/>
  <cp:lastModifiedBy>Государственный Технический Архив</cp:lastModifiedBy>
  <cp:revision>3</cp:revision>
  <dcterms:created xsi:type="dcterms:W3CDTF">2022-08-08T02:59:00Z</dcterms:created>
  <dcterms:modified xsi:type="dcterms:W3CDTF">2022-08-08T03:00:00Z</dcterms:modified>
</cp:coreProperties>
</file>